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3CC2" w14:textId="77777777" w:rsidR="00387CD5" w:rsidRPr="003372B0" w:rsidRDefault="00387CD5" w:rsidP="00387CD5">
      <w:pPr>
        <w:pStyle w:val="Heading1"/>
        <w:spacing w:before="0"/>
        <w:jc w:val="center"/>
      </w:pPr>
      <w:bookmarkStart w:id="0" w:name="_Toc508981347"/>
      <w:bookmarkStart w:id="1" w:name="_Toc82517769"/>
      <w:r>
        <w:rPr>
          <w:rFonts w:ascii="Calibri" w:hAnsi="Calibri" w:cs="OpenSans-Bold"/>
          <w:bCs w:val="0"/>
          <w:noProof/>
          <w:color w:val="003051"/>
          <w:sz w:val="26"/>
          <w:szCs w:val="18"/>
          <w:lang w:eastAsia="en-AU"/>
        </w:rPr>
        <w:drawing>
          <wp:anchor distT="0" distB="0" distL="114300" distR="114300" simplePos="0" relativeHeight="251659264" behindDoc="1" locked="0" layoutInCell="1" allowOverlap="1" wp14:anchorId="363252EF" wp14:editId="43A461DB">
            <wp:simplePos x="0" y="0"/>
            <wp:positionH relativeFrom="page">
              <wp:posOffset>0</wp:posOffset>
            </wp:positionH>
            <wp:positionV relativeFrom="page">
              <wp:posOffset>999067</wp:posOffset>
            </wp:positionV>
            <wp:extent cx="7559675" cy="2616200"/>
            <wp:effectExtent l="0" t="0" r="0" b="0"/>
            <wp:wrapNone/>
            <wp:docPr id="2" name="Picture 2" descr="RCH factsheet flier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H factsheet flier h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75" cy="262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RCH – Procurement Activity Plan 2021/20</w:t>
      </w:r>
      <w:bookmarkEnd w:id="0"/>
      <w:r>
        <w:t>22</w:t>
      </w:r>
      <w:bookmarkEnd w:id="1"/>
    </w:p>
    <w:p w14:paraId="3974CB46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50A70C61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  <w:r>
        <w:rPr>
          <w:rFonts w:ascii="Calibri" w:hAnsi="Calibri" w:cs="OpenSans-Bold"/>
          <w:bCs/>
          <w:noProof/>
          <w:color w:val="003051"/>
          <w:sz w:val="26"/>
          <w:szCs w:val="18"/>
          <w:lang w:eastAsia="en-A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44AEFE5" wp14:editId="19E1D5CC">
                <wp:simplePos x="0" y="0"/>
                <wp:positionH relativeFrom="page">
                  <wp:posOffset>415925</wp:posOffset>
                </wp:positionH>
                <wp:positionV relativeFrom="paragraph">
                  <wp:posOffset>169545</wp:posOffset>
                </wp:positionV>
                <wp:extent cx="4949190" cy="2016125"/>
                <wp:effectExtent l="0" t="127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9190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A4473" w14:textId="77777777" w:rsidR="00387CD5" w:rsidRPr="00483760" w:rsidRDefault="00387CD5" w:rsidP="00387CD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483760">
                              <w:rPr>
                                <w:rFonts w:ascii="Calibri Light" w:hAnsi="Calibri Light"/>
                                <w:b/>
                                <w:color w:val="FFFFFF"/>
                                <w:sz w:val="40"/>
                                <w:szCs w:val="40"/>
                              </w:rPr>
                              <w:t>Procurement Activity Plan</w:t>
                            </w:r>
                          </w:p>
                          <w:p w14:paraId="2110EE43" w14:textId="77777777" w:rsidR="00387CD5" w:rsidRPr="00483760" w:rsidRDefault="00387CD5" w:rsidP="00387CD5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olor w:val="FFFFFF"/>
                                <w:sz w:val="40"/>
                                <w:szCs w:val="40"/>
                              </w:rPr>
                              <w:t>2021-2022</w:t>
                            </w:r>
                          </w:p>
                        </w:txbxContent>
                      </wps:txbx>
                      <wps:bodyPr rot="0" vert="horz" wrap="square" lIns="360000" tIns="648000" rIns="108000" bIns="36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AEF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.75pt;margin-top:13.35pt;width:389.7pt;height:158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" filled="f" stroked="f">
                <v:textbox inset="10mm,18mm,3mm,10mm">
                  <w:txbxContent>
                    <w:p w14:paraId="6AAA4473" w14:textId="77777777" w:rsidR="00387CD5" w:rsidRPr="00483760" w:rsidRDefault="00387CD5" w:rsidP="00387CD5">
                      <w:pPr>
                        <w:jc w:val="center"/>
                        <w:rPr>
                          <w:rFonts w:ascii="Calibri Light" w:hAnsi="Calibri Light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483760">
                        <w:rPr>
                          <w:rFonts w:ascii="Calibri Light" w:hAnsi="Calibri Light"/>
                          <w:b/>
                          <w:color w:val="FFFFFF"/>
                          <w:sz w:val="40"/>
                          <w:szCs w:val="40"/>
                        </w:rPr>
                        <w:t>Procurement Activity Plan</w:t>
                      </w:r>
                    </w:p>
                    <w:p w14:paraId="2110EE43" w14:textId="77777777" w:rsidR="00387CD5" w:rsidRPr="00483760" w:rsidRDefault="00387CD5" w:rsidP="00387CD5">
                      <w:pPr>
                        <w:jc w:val="center"/>
                        <w:rPr>
                          <w:rFonts w:ascii="Calibri Light" w:hAnsi="Calibri Light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 Light" w:hAnsi="Calibri Light"/>
                          <w:b/>
                          <w:color w:val="FFFFFF"/>
                          <w:sz w:val="40"/>
                          <w:szCs w:val="40"/>
                        </w:rPr>
                        <w:t>2021-2022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3392B7CF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1EA2607C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565C382E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2AE43353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0F91BF3D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65623098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02EF2238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2B008082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4D4EBD9D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0E5299E7" w14:textId="77777777" w:rsidR="00387CD5" w:rsidRDefault="00387CD5" w:rsidP="00387CD5">
      <w:pPr>
        <w:rPr>
          <w:rFonts w:ascii="Calibri" w:hAnsi="Calibri" w:cs="OpenSans-Bold"/>
          <w:bCs/>
          <w:color w:val="003051"/>
          <w:sz w:val="26"/>
          <w:szCs w:val="18"/>
          <w:lang w:val="en-GB"/>
        </w:rPr>
      </w:pPr>
    </w:p>
    <w:p w14:paraId="11E6F455" w14:textId="77777777" w:rsidR="00387CD5" w:rsidRPr="00483760" w:rsidRDefault="00387CD5" w:rsidP="00387CD5">
      <w:pPr>
        <w:spacing w:after="120"/>
        <w:ind w:left="-142" w:right="-284"/>
        <w:jc w:val="both"/>
        <w:rPr>
          <w:rFonts w:ascii="Calibri" w:hAnsi="Calibri"/>
          <w:color w:val="0D1D63"/>
          <w:szCs w:val="24"/>
        </w:rPr>
      </w:pPr>
      <w:r w:rsidRPr="00483760">
        <w:rPr>
          <w:rFonts w:ascii="Calibri" w:hAnsi="Calibri"/>
          <w:color w:val="0D1D63"/>
          <w:szCs w:val="24"/>
        </w:rPr>
        <w:t xml:space="preserve">The Royal Children’s Hospital </w:t>
      </w:r>
      <w:r>
        <w:rPr>
          <w:rFonts w:ascii="Calibri" w:hAnsi="Calibri"/>
          <w:color w:val="0D1D63"/>
          <w:szCs w:val="24"/>
        </w:rPr>
        <w:t xml:space="preserve">(RCH) </w:t>
      </w:r>
      <w:r w:rsidRPr="00483760">
        <w:rPr>
          <w:rFonts w:ascii="Calibri" w:hAnsi="Calibri"/>
          <w:color w:val="0D1D63"/>
          <w:szCs w:val="24"/>
        </w:rPr>
        <w:t>Procurement Activity Plan provides potential suppliers with an indi</w:t>
      </w:r>
      <w:r>
        <w:rPr>
          <w:rFonts w:ascii="Calibri" w:hAnsi="Calibri"/>
          <w:color w:val="0D1D63"/>
          <w:szCs w:val="24"/>
        </w:rPr>
        <w:t>cation of likely procurement activities over</w:t>
      </w:r>
      <w:r w:rsidRPr="00483760">
        <w:rPr>
          <w:rFonts w:ascii="Calibri" w:hAnsi="Calibri"/>
          <w:color w:val="0D1D63"/>
          <w:szCs w:val="24"/>
        </w:rPr>
        <w:t xml:space="preserve"> the next 12 to 18 months. </w:t>
      </w:r>
      <w:r>
        <w:rPr>
          <w:rFonts w:ascii="Calibri" w:hAnsi="Calibri"/>
          <w:color w:val="0D1D63"/>
          <w:szCs w:val="24"/>
        </w:rPr>
        <w:t>RCH</w:t>
      </w:r>
      <w:r w:rsidRPr="00483760">
        <w:rPr>
          <w:rFonts w:ascii="Calibri" w:hAnsi="Calibri"/>
          <w:color w:val="0D1D63"/>
          <w:szCs w:val="24"/>
        </w:rPr>
        <w:t xml:space="preserve"> aims to work with suppliers through a fair, </w:t>
      </w:r>
      <w:proofErr w:type="gramStart"/>
      <w:r w:rsidRPr="00483760">
        <w:rPr>
          <w:rFonts w:ascii="Calibri" w:hAnsi="Calibri"/>
          <w:color w:val="0D1D63"/>
          <w:szCs w:val="24"/>
        </w:rPr>
        <w:t>open</w:t>
      </w:r>
      <w:proofErr w:type="gramEnd"/>
      <w:r w:rsidRPr="00483760">
        <w:rPr>
          <w:rFonts w:ascii="Calibri" w:hAnsi="Calibri"/>
          <w:color w:val="0D1D63"/>
          <w:szCs w:val="24"/>
        </w:rPr>
        <w:t xml:space="preserve"> and transparent sourcing process looking for solutions that are innovative, effective and ensure value for money.</w:t>
      </w:r>
    </w:p>
    <w:p w14:paraId="64382A4F" w14:textId="77777777" w:rsidR="00387CD5" w:rsidRPr="00483760" w:rsidRDefault="00387CD5" w:rsidP="00387CD5">
      <w:pPr>
        <w:ind w:left="-142" w:right="-284"/>
        <w:jc w:val="both"/>
        <w:rPr>
          <w:rFonts w:ascii="Calibri" w:hAnsi="Calibri"/>
          <w:color w:val="0D1D63"/>
          <w:szCs w:val="24"/>
        </w:rPr>
      </w:pPr>
      <w:r w:rsidRPr="00483760">
        <w:rPr>
          <w:rFonts w:ascii="Calibri" w:hAnsi="Calibri"/>
          <w:color w:val="0D1D63"/>
          <w:szCs w:val="24"/>
        </w:rPr>
        <w:t xml:space="preserve">The information in this plan is provided for planning purposes only and all procurement activity is subject to revision or cancellation. If you have any questions </w:t>
      </w:r>
      <w:r>
        <w:rPr>
          <w:rFonts w:ascii="Calibri" w:hAnsi="Calibri"/>
          <w:color w:val="0D1D63"/>
          <w:szCs w:val="24"/>
        </w:rPr>
        <w:t>please contact the Procurement D</w:t>
      </w:r>
      <w:r w:rsidRPr="00483760">
        <w:rPr>
          <w:rFonts w:ascii="Calibri" w:hAnsi="Calibri"/>
          <w:color w:val="0D1D63"/>
          <w:szCs w:val="24"/>
        </w:rPr>
        <w:t xml:space="preserve">epartment at </w:t>
      </w:r>
      <w:hyperlink r:id="rId7" w:history="1">
        <w:r w:rsidRPr="00483760">
          <w:rPr>
            <w:rStyle w:val="Hyperlink"/>
            <w:rFonts w:ascii="Calibri" w:hAnsi="Calibri"/>
            <w:szCs w:val="24"/>
          </w:rPr>
          <w:t>procurement@rch.org.au</w:t>
        </w:r>
      </w:hyperlink>
    </w:p>
    <w:p w14:paraId="59BBF2D6" w14:textId="77777777" w:rsidR="00387CD5" w:rsidRPr="00483760" w:rsidRDefault="00387CD5" w:rsidP="00387CD5">
      <w:pPr>
        <w:rPr>
          <w:rFonts w:ascii="Calibri" w:hAnsi="Calibri"/>
          <w:color w:val="0D1D63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685"/>
        <w:gridCol w:w="1276"/>
        <w:gridCol w:w="1559"/>
        <w:gridCol w:w="1559"/>
      </w:tblGrid>
      <w:tr w:rsidR="00387CD5" w:rsidRPr="00483760" w14:paraId="0A42D858" w14:textId="77777777" w:rsidTr="00C16884">
        <w:tc>
          <w:tcPr>
            <w:tcW w:w="2269" w:type="dxa"/>
            <w:shd w:val="clear" w:color="auto" w:fill="002060"/>
            <w:vAlign w:val="center"/>
          </w:tcPr>
          <w:p w14:paraId="1A5FE94A" w14:textId="77777777" w:rsidR="00387CD5" w:rsidRPr="00DD25E9" w:rsidRDefault="00387CD5" w:rsidP="00C16884">
            <w:pPr>
              <w:jc w:val="center"/>
              <w:rPr>
                <w:rFonts w:ascii="Calibri" w:hAnsi="Calibri"/>
                <w:b/>
                <w:color w:val="FFFFFF" w:themeColor="background1"/>
                <w:szCs w:val="24"/>
              </w:rPr>
            </w:pPr>
            <w:r w:rsidRPr="00DD25E9">
              <w:rPr>
                <w:rFonts w:ascii="Calibri" w:hAnsi="Calibri"/>
                <w:b/>
                <w:color w:val="FFFFFF" w:themeColor="background1"/>
                <w:szCs w:val="24"/>
              </w:rPr>
              <w:t>Procurement Activity</w:t>
            </w:r>
          </w:p>
        </w:tc>
        <w:tc>
          <w:tcPr>
            <w:tcW w:w="3685" w:type="dxa"/>
            <w:shd w:val="clear" w:color="auto" w:fill="002060"/>
            <w:vAlign w:val="center"/>
          </w:tcPr>
          <w:p w14:paraId="6C8584C9" w14:textId="77777777" w:rsidR="00387CD5" w:rsidRPr="00DD25E9" w:rsidRDefault="00387CD5" w:rsidP="00C16884">
            <w:pPr>
              <w:jc w:val="center"/>
              <w:rPr>
                <w:rFonts w:ascii="Calibri" w:hAnsi="Calibri"/>
                <w:b/>
                <w:color w:val="FFFFFF" w:themeColor="background1"/>
                <w:szCs w:val="24"/>
              </w:rPr>
            </w:pPr>
            <w:r w:rsidRPr="00DD25E9">
              <w:rPr>
                <w:rFonts w:ascii="Calibri" w:hAnsi="Calibri"/>
                <w:b/>
                <w:color w:val="FFFFFF" w:themeColor="background1"/>
                <w:szCs w:val="24"/>
              </w:rPr>
              <w:t>Procurement Description</w:t>
            </w:r>
          </w:p>
        </w:tc>
        <w:tc>
          <w:tcPr>
            <w:tcW w:w="1276" w:type="dxa"/>
            <w:shd w:val="clear" w:color="auto" w:fill="002060"/>
            <w:vAlign w:val="center"/>
          </w:tcPr>
          <w:p w14:paraId="5944091B" w14:textId="77777777" w:rsidR="00387CD5" w:rsidRDefault="00387CD5" w:rsidP="00C16884">
            <w:pPr>
              <w:jc w:val="center"/>
              <w:rPr>
                <w:rFonts w:ascii="Calibri" w:hAnsi="Calibr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Cs w:val="24"/>
              </w:rPr>
              <w:t xml:space="preserve">Category 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221E34D7" w14:textId="77777777" w:rsidR="00387CD5" w:rsidRPr="00DD25E9" w:rsidRDefault="00387CD5" w:rsidP="00C16884">
            <w:pPr>
              <w:jc w:val="center"/>
              <w:rPr>
                <w:rFonts w:ascii="Calibri" w:hAnsi="Calibr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Cs w:val="24"/>
              </w:rPr>
              <w:t>Market Approach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7BDDE263" w14:textId="77777777" w:rsidR="00387CD5" w:rsidRPr="00DD25E9" w:rsidRDefault="00387CD5" w:rsidP="00C16884">
            <w:pPr>
              <w:jc w:val="center"/>
              <w:rPr>
                <w:rFonts w:ascii="Calibri" w:hAnsi="Calibri"/>
                <w:b/>
                <w:color w:val="FFFFFF" w:themeColor="background1"/>
                <w:szCs w:val="24"/>
              </w:rPr>
            </w:pPr>
            <w:r>
              <w:rPr>
                <w:rFonts w:ascii="Calibri" w:hAnsi="Calibri"/>
                <w:b/>
                <w:color w:val="FFFFFF" w:themeColor="background1"/>
                <w:szCs w:val="24"/>
              </w:rPr>
              <w:t>Estimated Approach to Market (</w:t>
            </w:r>
            <w:proofErr w:type="spellStart"/>
            <w:r>
              <w:rPr>
                <w:rFonts w:ascii="Calibri" w:hAnsi="Calibri"/>
                <w:b/>
                <w:color w:val="FFFFFF" w:themeColor="background1"/>
                <w:szCs w:val="24"/>
              </w:rPr>
              <w:t>Qtr</w:t>
            </w:r>
            <w:proofErr w:type="spellEnd"/>
            <w:r>
              <w:rPr>
                <w:rFonts w:ascii="Calibri" w:hAnsi="Calibri"/>
                <w:b/>
                <w:color w:val="FFFFFF" w:themeColor="background1"/>
                <w:szCs w:val="24"/>
              </w:rPr>
              <w:t>/Year</w:t>
            </w:r>
            <w:r w:rsidRPr="00DD25E9">
              <w:rPr>
                <w:rFonts w:ascii="Calibri" w:hAnsi="Calibri"/>
                <w:b/>
                <w:color w:val="FFFFFF" w:themeColor="background1"/>
                <w:szCs w:val="24"/>
              </w:rPr>
              <w:t>)</w:t>
            </w:r>
          </w:p>
        </w:tc>
      </w:tr>
      <w:tr w:rsidR="00387CD5" w:rsidRPr="00483760" w14:paraId="0FA7188B" w14:textId="77777777" w:rsidTr="00C16884">
        <w:trPr>
          <w:trHeight w:val="794"/>
        </w:trPr>
        <w:tc>
          <w:tcPr>
            <w:tcW w:w="2269" w:type="dxa"/>
            <w:vAlign w:val="center"/>
          </w:tcPr>
          <w:p w14:paraId="41725C7E" w14:textId="77777777" w:rsidR="00387CD5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 xml:space="preserve">2019-0013 </w:t>
            </w:r>
          </w:p>
          <w:p w14:paraId="5B533446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Offsite Storage</w:t>
            </w:r>
          </w:p>
        </w:tc>
        <w:tc>
          <w:tcPr>
            <w:tcW w:w="3685" w:type="dxa"/>
            <w:vAlign w:val="center"/>
          </w:tcPr>
          <w:p w14:paraId="22094DDA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RCH are seeking</w:t>
            </w:r>
            <w:r w:rsidRPr="00F24CA8">
              <w:rPr>
                <w:rFonts w:ascii="Calibri" w:hAnsi="Calibri"/>
                <w:color w:val="0D1D63"/>
                <w:sz w:val="22"/>
                <w:szCs w:val="22"/>
              </w:rPr>
              <w:t xml:space="preserve"> a consolidated Offsite Storage solution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9FC77AA" w14:textId="77777777" w:rsidR="00387CD5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Focused</w:t>
            </w:r>
          </w:p>
        </w:tc>
        <w:tc>
          <w:tcPr>
            <w:tcW w:w="1559" w:type="dxa"/>
            <w:vAlign w:val="center"/>
          </w:tcPr>
          <w:p w14:paraId="45879BEF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ITS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75FE3B" w14:textId="77777777" w:rsidR="00387CD5" w:rsidRPr="00596B43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>Q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3</w:t>
            </w: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21</w:t>
            </w:r>
          </w:p>
        </w:tc>
      </w:tr>
      <w:tr w:rsidR="00387CD5" w:rsidRPr="00483760" w14:paraId="6AA6B697" w14:textId="77777777" w:rsidTr="00C16884">
        <w:trPr>
          <w:trHeight w:val="794"/>
        </w:trPr>
        <w:tc>
          <w:tcPr>
            <w:tcW w:w="2269" w:type="dxa"/>
            <w:vAlign w:val="center"/>
          </w:tcPr>
          <w:p w14:paraId="186550C2" w14:textId="77777777" w:rsidR="00387CD5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2019-0050</w:t>
            </w:r>
          </w:p>
          <w:p w14:paraId="01D7E82A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Towers &amp; Scopes</w:t>
            </w:r>
          </w:p>
        </w:tc>
        <w:tc>
          <w:tcPr>
            <w:tcW w:w="3685" w:type="dxa"/>
            <w:vAlign w:val="center"/>
          </w:tcPr>
          <w:p w14:paraId="52F243E3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RCH are seeking to replace the current</w:t>
            </w:r>
            <w:r w:rsidRPr="00F24CA8">
              <w:rPr>
                <w:rFonts w:ascii="Calibri" w:hAnsi="Calibri"/>
                <w:color w:val="0D1D63"/>
                <w:sz w:val="22"/>
                <w:szCs w:val="22"/>
              </w:rPr>
              <w:t xml:space="preserve"> Tower &amp; Scope equipment in the Theatres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332330E3" w14:textId="77777777" w:rsidR="00387CD5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Focused</w:t>
            </w:r>
          </w:p>
        </w:tc>
        <w:tc>
          <w:tcPr>
            <w:tcW w:w="1559" w:type="dxa"/>
            <w:vAlign w:val="center"/>
          </w:tcPr>
          <w:p w14:paraId="681741A4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ITS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3E0DDD" w14:textId="77777777" w:rsidR="00387CD5" w:rsidRPr="00596B43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>Q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1</w:t>
            </w: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22</w:t>
            </w:r>
          </w:p>
        </w:tc>
      </w:tr>
      <w:tr w:rsidR="00387CD5" w:rsidRPr="00483760" w14:paraId="21BDE46B" w14:textId="77777777" w:rsidTr="00C16884">
        <w:trPr>
          <w:trHeight w:val="794"/>
        </w:trPr>
        <w:tc>
          <w:tcPr>
            <w:tcW w:w="2269" w:type="dxa"/>
            <w:vAlign w:val="center"/>
          </w:tcPr>
          <w:p w14:paraId="18B7C0DC" w14:textId="77777777" w:rsidR="00387CD5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2021-0015</w:t>
            </w:r>
          </w:p>
          <w:p w14:paraId="5C6E7104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Pharmacy Distribution</w:t>
            </w:r>
          </w:p>
        </w:tc>
        <w:tc>
          <w:tcPr>
            <w:tcW w:w="3685" w:type="dxa"/>
            <w:vAlign w:val="center"/>
          </w:tcPr>
          <w:p w14:paraId="13F29008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 w:rsidRPr="00BB31C5">
              <w:rPr>
                <w:rFonts w:ascii="Calibri" w:hAnsi="Calibri"/>
                <w:color w:val="0D1D63"/>
                <w:sz w:val="22"/>
                <w:szCs w:val="22"/>
              </w:rPr>
              <w:t>A selective ITS will be conducted with pre-approved suppliers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5B8C33C2" w14:textId="77777777" w:rsidR="00387CD5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 xml:space="preserve">Strategic </w:t>
            </w:r>
          </w:p>
        </w:tc>
        <w:tc>
          <w:tcPr>
            <w:tcW w:w="1559" w:type="dxa"/>
            <w:vAlign w:val="center"/>
          </w:tcPr>
          <w:p w14:paraId="2CAA83CD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Selective ITS / HSV Panel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F1FA6" w14:textId="77777777" w:rsidR="00387CD5" w:rsidRPr="00596B43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>Q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4</w:t>
            </w: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21</w:t>
            </w:r>
          </w:p>
        </w:tc>
      </w:tr>
      <w:tr w:rsidR="00387CD5" w:rsidRPr="00483760" w14:paraId="7CEF73D0" w14:textId="77777777" w:rsidTr="00C16884">
        <w:trPr>
          <w:trHeight w:val="794"/>
        </w:trPr>
        <w:tc>
          <w:tcPr>
            <w:tcW w:w="2269" w:type="dxa"/>
            <w:vAlign w:val="center"/>
          </w:tcPr>
          <w:p w14:paraId="0CF0B0CB" w14:textId="77777777" w:rsidR="00387CD5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2021-0018</w:t>
            </w:r>
          </w:p>
          <w:p w14:paraId="08BB2002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Syringe Pumps</w:t>
            </w:r>
          </w:p>
        </w:tc>
        <w:tc>
          <w:tcPr>
            <w:tcW w:w="3685" w:type="dxa"/>
            <w:vAlign w:val="center"/>
          </w:tcPr>
          <w:p w14:paraId="0DC7B26A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 w:rsidRPr="00BB31C5">
              <w:rPr>
                <w:rFonts w:ascii="Calibri" w:hAnsi="Calibri"/>
                <w:color w:val="0D1D63"/>
                <w:sz w:val="22"/>
                <w:szCs w:val="22"/>
              </w:rPr>
              <w:t xml:space="preserve">A selective ITS will be conducted with pre-approved suppliers listed under </w:t>
            </w:r>
            <w:proofErr w:type="spellStart"/>
            <w:r w:rsidRPr="00BB31C5">
              <w:rPr>
                <w:rFonts w:ascii="Calibri" w:hAnsi="Calibri"/>
                <w:color w:val="0D1D63"/>
                <w:sz w:val="22"/>
                <w:szCs w:val="22"/>
              </w:rPr>
              <w:t>HealthShare</w:t>
            </w:r>
            <w:proofErr w:type="spellEnd"/>
            <w:r w:rsidRPr="00BB31C5">
              <w:rPr>
                <w:rFonts w:ascii="Calibri" w:hAnsi="Calibri"/>
                <w:color w:val="0D1D63"/>
                <w:sz w:val="22"/>
                <w:szCs w:val="22"/>
              </w:rPr>
              <w:t xml:space="preserve"> Victoria contract HPVC2016-055 Infusion Pumps, Category 2 Syringe Pumps.</w:t>
            </w:r>
          </w:p>
        </w:tc>
        <w:tc>
          <w:tcPr>
            <w:tcW w:w="1276" w:type="dxa"/>
            <w:vAlign w:val="center"/>
          </w:tcPr>
          <w:p w14:paraId="41143D23" w14:textId="77777777" w:rsidR="00387CD5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Focused</w:t>
            </w:r>
          </w:p>
        </w:tc>
        <w:tc>
          <w:tcPr>
            <w:tcW w:w="1559" w:type="dxa"/>
            <w:vAlign w:val="center"/>
          </w:tcPr>
          <w:p w14:paraId="407A3D22" w14:textId="77777777" w:rsidR="00387CD5" w:rsidRPr="00596B43" w:rsidRDefault="00387CD5" w:rsidP="00C16884">
            <w:pPr>
              <w:rPr>
                <w:rFonts w:ascii="Calibri" w:hAnsi="Calibri"/>
                <w:color w:val="0D1D63"/>
                <w:sz w:val="22"/>
                <w:szCs w:val="22"/>
              </w:rPr>
            </w:pPr>
            <w:r>
              <w:rPr>
                <w:rFonts w:ascii="Calibri" w:hAnsi="Calibri"/>
                <w:color w:val="0D1D63"/>
                <w:sz w:val="22"/>
                <w:szCs w:val="22"/>
              </w:rPr>
              <w:t>Selective ITS / HSV Panel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881DE4" w14:textId="77777777" w:rsidR="00387CD5" w:rsidRPr="00596B43" w:rsidRDefault="00387CD5" w:rsidP="00C16884">
            <w:pPr>
              <w:jc w:val="center"/>
              <w:rPr>
                <w:rFonts w:ascii="Calibri" w:hAnsi="Calibri"/>
                <w:color w:val="0D1D63"/>
                <w:sz w:val="22"/>
                <w:szCs w:val="22"/>
              </w:rPr>
            </w:pP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>Q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4</w:t>
            </w:r>
            <w:r w:rsidRPr="00596B43">
              <w:rPr>
                <w:rFonts w:ascii="Calibri" w:hAnsi="Calibri"/>
                <w:color w:val="0D1D63"/>
                <w:sz w:val="22"/>
                <w:szCs w:val="22"/>
              </w:rPr>
              <w:t xml:space="preserve"> 20</w:t>
            </w:r>
            <w:r>
              <w:rPr>
                <w:rFonts w:ascii="Calibri" w:hAnsi="Calibri"/>
                <w:color w:val="0D1D63"/>
                <w:sz w:val="22"/>
                <w:szCs w:val="22"/>
              </w:rPr>
              <w:t>21</w:t>
            </w:r>
          </w:p>
        </w:tc>
      </w:tr>
    </w:tbl>
    <w:p w14:paraId="093AF76A" w14:textId="77777777" w:rsidR="00387CD5" w:rsidRPr="0029257F" w:rsidRDefault="00387CD5" w:rsidP="00387CD5">
      <w:pPr>
        <w:pStyle w:val="BodyDLbrochure"/>
      </w:pPr>
    </w:p>
    <w:p w14:paraId="406AA453" w14:textId="77777777" w:rsidR="00B65B86" w:rsidRDefault="0031374C"/>
    <w:sectPr w:rsidR="00B65B86" w:rsidSect="00A44D48">
      <w:pgSz w:w="11899" w:h="16838"/>
      <w:pgMar w:top="993" w:right="984" w:bottom="1135" w:left="993" w:header="737" w:footer="25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18CF2" w14:textId="77777777" w:rsidR="0031374C" w:rsidRDefault="0031374C" w:rsidP="00387CD5">
      <w:r>
        <w:separator/>
      </w:r>
    </w:p>
  </w:endnote>
  <w:endnote w:type="continuationSeparator" w:id="0">
    <w:p w14:paraId="1F8F3E1D" w14:textId="77777777" w:rsidR="0031374C" w:rsidRDefault="0031374C" w:rsidP="0038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E046" w14:textId="77777777" w:rsidR="0031374C" w:rsidRDefault="0031374C" w:rsidP="00387CD5">
      <w:r>
        <w:separator/>
      </w:r>
    </w:p>
  </w:footnote>
  <w:footnote w:type="continuationSeparator" w:id="0">
    <w:p w14:paraId="1D9A2960" w14:textId="77777777" w:rsidR="0031374C" w:rsidRDefault="0031374C" w:rsidP="00387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D5"/>
    <w:rsid w:val="001A2653"/>
    <w:rsid w:val="001A2C89"/>
    <w:rsid w:val="0031374C"/>
    <w:rsid w:val="00387CD5"/>
    <w:rsid w:val="008124C6"/>
    <w:rsid w:val="00D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F8A3E"/>
  <w15:chartTrackingRefBased/>
  <w15:docId w15:val="{FC8B85BE-EAF4-4238-941C-EB036CD6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D5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87CD5"/>
    <w:pPr>
      <w:keepNext/>
      <w:pBdr>
        <w:bottom w:val="single" w:sz="6" w:space="1" w:color="auto"/>
      </w:pBdr>
      <w:spacing w:before="240" w:after="60"/>
      <w:outlineLvl w:val="0"/>
    </w:pPr>
    <w:rPr>
      <w:rFonts w:asciiTheme="minorHAnsi" w:eastAsia="Times New Roman" w:hAnsiTheme="minorHAnsi"/>
      <w:b/>
      <w:bCs/>
      <w:color w:val="767171" w:themeColor="background2" w:themeShade="80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CD5"/>
    <w:rPr>
      <w:rFonts w:eastAsia="Times New Roman" w:cs="Times New Roman"/>
      <w:b/>
      <w:bCs/>
      <w:color w:val="767171" w:themeColor="background2" w:themeShade="80"/>
      <w:kern w:val="32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387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CD5"/>
    <w:rPr>
      <w:rFonts w:ascii="Cambria" w:eastAsia="Cambria" w:hAnsi="Cambri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7C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CD5"/>
    <w:rPr>
      <w:rFonts w:ascii="Cambria" w:eastAsia="Cambria" w:hAnsi="Cambria" w:cs="Times New Roman"/>
      <w:sz w:val="24"/>
      <w:szCs w:val="20"/>
    </w:rPr>
  </w:style>
  <w:style w:type="paragraph" w:customStyle="1" w:styleId="BodyDLbrochure">
    <w:name w:val="Body_DL brochure"/>
    <w:basedOn w:val="Normal"/>
    <w:link w:val="BodyDLbrochureChar"/>
    <w:autoRedefine/>
    <w:qFormat/>
    <w:rsid w:val="00387CD5"/>
    <w:pPr>
      <w:widowControl w:val="0"/>
      <w:autoSpaceDE w:val="0"/>
      <w:autoSpaceDN w:val="0"/>
      <w:adjustRightInd w:val="0"/>
      <w:snapToGrid w:val="0"/>
      <w:jc w:val="both"/>
      <w:textAlignment w:val="center"/>
    </w:pPr>
    <w:rPr>
      <w:rFonts w:ascii="Calibri" w:hAnsi="Calibri" w:cs="OpenSans"/>
      <w:color w:val="415563"/>
      <w:szCs w:val="18"/>
      <w:lang w:val="en-GB"/>
    </w:rPr>
  </w:style>
  <w:style w:type="character" w:customStyle="1" w:styleId="BodyDLbrochureChar">
    <w:name w:val="Body_DL brochure Char"/>
    <w:link w:val="BodyDLbrochure"/>
    <w:rsid w:val="00387CD5"/>
    <w:rPr>
      <w:rFonts w:ascii="Calibri" w:eastAsia="Cambria" w:hAnsi="Calibri" w:cs="OpenSans"/>
      <w:color w:val="415563"/>
      <w:sz w:val="24"/>
      <w:szCs w:val="18"/>
      <w:lang w:val="en-GB"/>
    </w:rPr>
  </w:style>
  <w:style w:type="character" w:styleId="Hyperlink">
    <w:name w:val="Hyperlink"/>
    <w:basedOn w:val="DefaultParagraphFont"/>
    <w:uiPriority w:val="99"/>
    <w:rsid w:val="00387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curement@rch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Forde</dc:creator>
  <cp:keywords/>
  <dc:description/>
  <cp:lastModifiedBy>Simone Forde</cp:lastModifiedBy>
  <cp:revision>1</cp:revision>
  <dcterms:created xsi:type="dcterms:W3CDTF">2021-09-14T04:53:00Z</dcterms:created>
  <dcterms:modified xsi:type="dcterms:W3CDTF">2021-09-14T04:55:00Z</dcterms:modified>
</cp:coreProperties>
</file>